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AF77E" w14:textId="77777777" w:rsidR="007D6902" w:rsidRPr="002A5307" w:rsidRDefault="007D6902" w:rsidP="007D6902">
      <w:pPr>
        <w:pStyle w:val="FigureTable"/>
        <w:keepNext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Table </w:t>
      </w:r>
      <w:r w:rsidRPr="002A5307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 w:rsidRPr="002A5307">
        <w:rPr>
          <w:rFonts w:ascii="Times New Roman" w:hAnsi="Times New Roman" w:cs="Times New Roman"/>
        </w:rPr>
        <w:t xml:space="preserve"> </w:t>
      </w:r>
      <w:r w:rsidRPr="009D68F8">
        <w:rPr>
          <w:rFonts w:ascii="Times New Roman" w:hAnsi="Times New Roman" w:cs="Times New Roman"/>
          <w:b w:val="0"/>
          <w:bCs/>
        </w:rPr>
        <w:t xml:space="preserve">Comparison of key study design and patient eligibility </w:t>
      </w:r>
      <w:r>
        <w:rPr>
          <w:rFonts w:ascii="Times New Roman" w:hAnsi="Times New Roman" w:cs="Times New Roman"/>
          <w:b w:val="0"/>
          <w:bCs/>
        </w:rPr>
        <w:t>criteria</w:t>
      </w:r>
      <w:r w:rsidRPr="009D68F8">
        <w:rPr>
          <w:rFonts w:ascii="Times New Roman" w:hAnsi="Times New Roman" w:cs="Times New Roman"/>
          <w:b w:val="0"/>
          <w:bCs/>
        </w:rPr>
        <w:t>.</w:t>
      </w:r>
    </w:p>
    <w:tbl>
      <w:tblPr>
        <w:tblStyle w:val="Jennys"/>
        <w:tblW w:w="5000" w:type="pct"/>
        <w:tblLook w:val="0420" w:firstRow="1" w:lastRow="0" w:firstColumn="0" w:lastColumn="0" w:noHBand="0" w:noVBand="1"/>
      </w:tblPr>
      <w:tblGrid>
        <w:gridCol w:w="2337"/>
        <w:gridCol w:w="2337"/>
        <w:gridCol w:w="2338"/>
        <w:gridCol w:w="2338"/>
      </w:tblGrid>
      <w:tr w:rsidR="007D6902" w:rsidRPr="002A5307" w14:paraId="2C582A61" w14:textId="77777777" w:rsidTr="00794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250" w:type="pct"/>
            <w:vAlign w:val="center"/>
            <w:hideMark/>
          </w:tcPr>
          <w:p w14:paraId="02F583A7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Characteristic</w:t>
            </w:r>
          </w:p>
        </w:tc>
        <w:tc>
          <w:tcPr>
            <w:tcW w:w="1250" w:type="pct"/>
            <w:vAlign w:val="center"/>
            <w:hideMark/>
          </w:tcPr>
          <w:p w14:paraId="1FC86035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MAGNOLIA (NCT03846427)</w:t>
            </w:r>
          </w:p>
        </w:tc>
        <w:tc>
          <w:tcPr>
            <w:tcW w:w="1250" w:type="pct"/>
            <w:vAlign w:val="center"/>
            <w:hideMark/>
          </w:tcPr>
          <w:p w14:paraId="651F901F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BGB-3111-AU-003 (NCT02343120)</w:t>
            </w:r>
          </w:p>
        </w:tc>
        <w:tc>
          <w:tcPr>
            <w:tcW w:w="1250" w:type="pct"/>
            <w:vAlign w:val="center"/>
          </w:tcPr>
          <w:p w14:paraId="06E8CEF4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6001F8">
              <w:rPr>
                <w:rFonts w:ascii="Times New Roman" w:hAnsi="Times New Roman" w:cs="Times New Roman"/>
                <w:bCs/>
                <w:color w:val="FFFFFF" w:themeColor="background1"/>
                <w:sz w:val="16"/>
                <w:szCs w:val="16"/>
              </w:rPr>
              <w:t>HMRN registry</w:t>
            </w:r>
          </w:p>
        </w:tc>
      </w:tr>
      <w:tr w:rsidR="007D6902" w:rsidRPr="002A5307" w14:paraId="5B2CE179" w14:textId="77777777" w:rsidTr="00794C94">
        <w:trPr>
          <w:trHeight w:val="360"/>
        </w:trPr>
        <w:tc>
          <w:tcPr>
            <w:tcW w:w="1250" w:type="pct"/>
            <w:vAlign w:val="center"/>
          </w:tcPr>
          <w:p w14:paraId="4D5E8682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Study design</w:t>
            </w:r>
          </w:p>
        </w:tc>
        <w:tc>
          <w:tcPr>
            <w:tcW w:w="1250" w:type="pct"/>
            <w:vAlign w:val="center"/>
          </w:tcPr>
          <w:p w14:paraId="3E5AF6B4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 xml:space="preserve">Phase </w:t>
            </w:r>
            <w:r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2</w:t>
            </w: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, single-arm, open-label</w:t>
            </w:r>
          </w:p>
        </w:tc>
        <w:tc>
          <w:tcPr>
            <w:tcW w:w="1250" w:type="pct"/>
            <w:vAlign w:val="center"/>
          </w:tcPr>
          <w:p w14:paraId="42B72A30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 xml:space="preserve">Phase </w:t>
            </w:r>
            <w:r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1/2</w:t>
            </w: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, single-arm, open-label</w:t>
            </w:r>
          </w:p>
        </w:tc>
        <w:tc>
          <w:tcPr>
            <w:tcW w:w="1250" w:type="pct"/>
            <w:vAlign w:val="center"/>
          </w:tcPr>
          <w:p w14:paraId="07DA4244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Observational, registry</w:t>
            </w:r>
          </w:p>
        </w:tc>
      </w:tr>
      <w:tr w:rsidR="007D6902" w:rsidRPr="002A5307" w14:paraId="5BE6ED79" w14:textId="77777777" w:rsidTr="00794C94">
        <w:trPr>
          <w:trHeight w:val="360"/>
        </w:trPr>
        <w:tc>
          <w:tcPr>
            <w:tcW w:w="1250" w:type="pct"/>
            <w:vAlign w:val="center"/>
            <w:hideMark/>
          </w:tcPr>
          <w:p w14:paraId="63D2D6B1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250" w:type="pct"/>
            <w:vAlign w:val="center"/>
            <w:hideMark/>
          </w:tcPr>
          <w:p w14:paraId="2A83282F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Z</w:t>
            </w: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anubrutinib</w:t>
            </w:r>
          </w:p>
        </w:tc>
        <w:tc>
          <w:tcPr>
            <w:tcW w:w="1250" w:type="pct"/>
            <w:vAlign w:val="center"/>
            <w:hideMark/>
          </w:tcPr>
          <w:p w14:paraId="04A94B6D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Z</w:t>
            </w: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anubrutinib</w:t>
            </w:r>
          </w:p>
        </w:tc>
        <w:tc>
          <w:tcPr>
            <w:tcW w:w="1250" w:type="pct"/>
            <w:vAlign w:val="center"/>
          </w:tcPr>
          <w:p w14:paraId="6DBF387C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C</w:t>
            </w: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 xml:space="preserve">hemoimmunotherapy, immunotherapy, or </w:t>
            </w:r>
            <w:proofErr w:type="spellStart"/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chemotherapy</w:t>
            </w:r>
            <w:r w:rsidRPr="0075107D">
              <w:rPr>
                <w:rFonts w:ascii="Times New Roman" w:hAnsi="Times New Roman" w:cs="Times New Roman"/>
                <w:b w:val="0"/>
                <w:bCs/>
                <w:sz w:val="16"/>
                <w:szCs w:val="16"/>
                <w:vertAlign w:val="superscript"/>
              </w:rPr>
              <w:t>a</w:t>
            </w:r>
            <w:proofErr w:type="spellEnd"/>
          </w:p>
        </w:tc>
      </w:tr>
      <w:tr w:rsidR="007D6902" w:rsidRPr="002A5307" w14:paraId="705510B6" w14:textId="77777777" w:rsidTr="00794C94">
        <w:trPr>
          <w:trHeight w:val="360"/>
        </w:trPr>
        <w:tc>
          <w:tcPr>
            <w:tcW w:w="1250" w:type="pct"/>
            <w:vAlign w:val="center"/>
            <w:hideMark/>
          </w:tcPr>
          <w:p w14:paraId="453121AF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 xml:space="preserve">Study </w:t>
            </w:r>
            <w:proofErr w:type="gramStart"/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start</w:t>
            </w:r>
            <w:proofErr w:type="gramEnd"/>
            <w:r w:rsidRPr="002A5307">
              <w:rPr>
                <w:rFonts w:ascii="Times New Roman" w:hAnsi="Times New Roman" w:cs="Times New Roman"/>
                <w:sz w:val="16"/>
                <w:szCs w:val="16"/>
              </w:rPr>
              <w:t xml:space="preserve"> date</w:t>
            </w:r>
          </w:p>
        </w:tc>
        <w:tc>
          <w:tcPr>
            <w:tcW w:w="1250" w:type="pct"/>
            <w:vAlign w:val="center"/>
            <w:hideMark/>
          </w:tcPr>
          <w:p w14:paraId="08E6118A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February 2019</w:t>
            </w:r>
          </w:p>
        </w:tc>
        <w:tc>
          <w:tcPr>
            <w:tcW w:w="1250" w:type="pct"/>
            <w:vAlign w:val="center"/>
            <w:hideMark/>
          </w:tcPr>
          <w:p w14:paraId="7D3BA23D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September 2014</w:t>
            </w:r>
          </w:p>
        </w:tc>
        <w:tc>
          <w:tcPr>
            <w:tcW w:w="1250" w:type="pct"/>
            <w:vAlign w:val="center"/>
          </w:tcPr>
          <w:p w14:paraId="73CBE675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2014</w:t>
            </w:r>
          </w:p>
        </w:tc>
      </w:tr>
      <w:tr w:rsidR="007D6902" w:rsidRPr="002A5307" w14:paraId="26CD25A1" w14:textId="77777777" w:rsidTr="00794C94">
        <w:trPr>
          <w:trHeight w:val="360"/>
        </w:trPr>
        <w:tc>
          <w:tcPr>
            <w:tcW w:w="1250" w:type="pct"/>
            <w:vAlign w:val="center"/>
          </w:tcPr>
          <w:p w14:paraId="0A6EF9DA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Study end date</w:t>
            </w:r>
          </w:p>
        </w:tc>
        <w:tc>
          <w:tcPr>
            <w:tcW w:w="1250" w:type="pct"/>
            <w:vAlign w:val="center"/>
          </w:tcPr>
          <w:p w14:paraId="5E73CAAE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May 2022</w:t>
            </w:r>
          </w:p>
        </w:tc>
        <w:tc>
          <w:tcPr>
            <w:tcW w:w="1250" w:type="pct"/>
            <w:vAlign w:val="center"/>
          </w:tcPr>
          <w:p w14:paraId="1B334EAE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March 2021</w:t>
            </w:r>
          </w:p>
        </w:tc>
        <w:tc>
          <w:tcPr>
            <w:tcW w:w="1250" w:type="pct"/>
            <w:vAlign w:val="center"/>
          </w:tcPr>
          <w:p w14:paraId="1A5E180B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2020</w:t>
            </w:r>
          </w:p>
        </w:tc>
      </w:tr>
      <w:tr w:rsidR="007D6902" w:rsidRPr="002A5307" w14:paraId="0EBF2BBB" w14:textId="77777777" w:rsidTr="00794C94">
        <w:trPr>
          <w:trHeight w:val="360"/>
        </w:trPr>
        <w:tc>
          <w:tcPr>
            <w:tcW w:w="1250" w:type="pct"/>
            <w:vAlign w:val="center"/>
            <w:hideMark/>
          </w:tcPr>
          <w:p w14:paraId="27295DD8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Study location</w:t>
            </w:r>
          </w:p>
        </w:tc>
        <w:tc>
          <w:tcPr>
            <w:tcW w:w="1250" w:type="pct"/>
            <w:vAlign w:val="center"/>
            <w:hideMark/>
          </w:tcPr>
          <w:p w14:paraId="7901DE77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31 sites (Asia, Europe, North America, Oceania)</w:t>
            </w:r>
          </w:p>
        </w:tc>
        <w:tc>
          <w:tcPr>
            <w:tcW w:w="1250" w:type="pct"/>
            <w:vAlign w:val="center"/>
            <w:hideMark/>
          </w:tcPr>
          <w:p w14:paraId="57C06182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24 sites (Asia, Europe, North America, Oceania)</w:t>
            </w:r>
          </w:p>
        </w:tc>
        <w:tc>
          <w:tcPr>
            <w:tcW w:w="1250" w:type="pct"/>
            <w:vAlign w:val="center"/>
          </w:tcPr>
          <w:p w14:paraId="0A698FD2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UK</w:t>
            </w:r>
          </w:p>
        </w:tc>
      </w:tr>
      <w:tr w:rsidR="007D6902" w:rsidRPr="002A5307" w14:paraId="79369745" w14:textId="77777777" w:rsidTr="00794C94">
        <w:trPr>
          <w:trHeight w:val="360"/>
        </w:trPr>
        <w:tc>
          <w:tcPr>
            <w:tcW w:w="1250" w:type="pct"/>
            <w:vAlign w:val="center"/>
            <w:hideMark/>
          </w:tcPr>
          <w:p w14:paraId="56FD6080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Enrolled/included lymphoma subtype</w:t>
            </w:r>
          </w:p>
        </w:tc>
        <w:tc>
          <w:tcPr>
            <w:tcW w:w="1250" w:type="pct"/>
            <w:vAlign w:val="center"/>
            <w:hideMark/>
          </w:tcPr>
          <w:p w14:paraId="516BF7D9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 xml:space="preserve">R/R MZL </w:t>
            </w:r>
          </w:p>
        </w:tc>
        <w:tc>
          <w:tcPr>
            <w:tcW w:w="1250" w:type="pct"/>
            <w:vAlign w:val="center"/>
            <w:hideMark/>
          </w:tcPr>
          <w:p w14:paraId="36102882" w14:textId="77777777" w:rsidR="007D6902" w:rsidRPr="004C29ED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  <w:lang w:val="pt-PT"/>
              </w:rPr>
            </w:pPr>
            <w:r w:rsidRPr="004C29ED">
              <w:rPr>
                <w:rFonts w:ascii="Times New Roman" w:hAnsi="Times New Roman" w:cs="Times New Roman"/>
                <w:b w:val="0"/>
                <w:bCs/>
                <w:sz w:val="16"/>
                <w:szCs w:val="16"/>
                <w:lang w:val="pt-PT"/>
              </w:rPr>
              <w:t xml:space="preserve">R/R MZL </w:t>
            </w:r>
          </w:p>
        </w:tc>
        <w:tc>
          <w:tcPr>
            <w:tcW w:w="1250" w:type="pct"/>
            <w:vAlign w:val="center"/>
          </w:tcPr>
          <w:p w14:paraId="24EED38D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Lymphomas and blood disorders</w:t>
            </w:r>
          </w:p>
        </w:tc>
      </w:tr>
      <w:tr w:rsidR="007D6902" w:rsidRPr="002A5307" w14:paraId="37E6BBB2" w14:textId="77777777" w:rsidTr="00794C94">
        <w:trPr>
          <w:trHeight w:val="360"/>
        </w:trPr>
        <w:tc>
          <w:tcPr>
            <w:tcW w:w="1250" w:type="pct"/>
            <w:vAlign w:val="center"/>
            <w:hideMark/>
          </w:tcPr>
          <w:p w14:paraId="3E56241C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 xml:space="preserve">Sample size of patients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with </w:t>
            </w: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R/R MZL relevant for MAIC</w:t>
            </w:r>
          </w:p>
        </w:tc>
        <w:tc>
          <w:tcPr>
            <w:tcW w:w="1250" w:type="pct"/>
            <w:vAlign w:val="center"/>
            <w:hideMark/>
          </w:tcPr>
          <w:p w14:paraId="09B40B56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66 efficacy-evaluable</w:t>
            </w:r>
          </w:p>
        </w:tc>
        <w:tc>
          <w:tcPr>
            <w:tcW w:w="1250" w:type="pct"/>
            <w:vAlign w:val="center"/>
            <w:hideMark/>
          </w:tcPr>
          <w:p w14:paraId="5B238874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20 efficacy-evaluable</w:t>
            </w:r>
          </w:p>
        </w:tc>
        <w:tc>
          <w:tcPr>
            <w:tcW w:w="1250" w:type="pct"/>
            <w:vAlign w:val="center"/>
          </w:tcPr>
          <w:p w14:paraId="7D36BC67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90</w:t>
            </w:r>
          </w:p>
        </w:tc>
      </w:tr>
      <w:tr w:rsidR="007D6902" w:rsidRPr="002A5307" w14:paraId="3D38AE1C" w14:textId="77777777" w:rsidTr="00794C94">
        <w:trPr>
          <w:trHeight w:val="360"/>
        </w:trPr>
        <w:tc>
          <w:tcPr>
            <w:tcW w:w="1250" w:type="pct"/>
            <w:vAlign w:val="center"/>
            <w:hideMark/>
          </w:tcPr>
          <w:p w14:paraId="29BB744E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Data type</w:t>
            </w:r>
          </w:p>
        </w:tc>
        <w:tc>
          <w:tcPr>
            <w:tcW w:w="1250" w:type="pct"/>
            <w:vAlign w:val="center"/>
            <w:hideMark/>
          </w:tcPr>
          <w:p w14:paraId="1769A99B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Patient-level data</w:t>
            </w:r>
          </w:p>
        </w:tc>
        <w:tc>
          <w:tcPr>
            <w:tcW w:w="1250" w:type="pct"/>
            <w:vAlign w:val="center"/>
            <w:hideMark/>
          </w:tcPr>
          <w:p w14:paraId="4B9C6DE8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Patient-level data</w:t>
            </w:r>
          </w:p>
        </w:tc>
        <w:tc>
          <w:tcPr>
            <w:tcW w:w="1250" w:type="pct"/>
            <w:vAlign w:val="center"/>
          </w:tcPr>
          <w:p w14:paraId="4B314BE0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Aggregate-level data</w:t>
            </w:r>
          </w:p>
        </w:tc>
      </w:tr>
      <w:tr w:rsidR="007D6902" w:rsidRPr="002A5307" w14:paraId="04F98510" w14:textId="77777777" w:rsidTr="00794C94">
        <w:trPr>
          <w:trHeight w:val="360"/>
        </w:trPr>
        <w:tc>
          <w:tcPr>
            <w:tcW w:w="1250" w:type="pct"/>
            <w:vAlign w:val="center"/>
          </w:tcPr>
          <w:p w14:paraId="427C4AED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</w:p>
        </w:tc>
        <w:tc>
          <w:tcPr>
            <w:tcW w:w="1250" w:type="pct"/>
            <w:vAlign w:val="center"/>
          </w:tcPr>
          <w:p w14:paraId="35534F5F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≥18 years</w:t>
            </w:r>
          </w:p>
        </w:tc>
        <w:tc>
          <w:tcPr>
            <w:tcW w:w="1250" w:type="pct"/>
            <w:vAlign w:val="center"/>
          </w:tcPr>
          <w:p w14:paraId="5818D138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≥18 years</w:t>
            </w:r>
          </w:p>
        </w:tc>
        <w:tc>
          <w:tcPr>
            <w:tcW w:w="1250" w:type="pct"/>
            <w:vAlign w:val="center"/>
          </w:tcPr>
          <w:p w14:paraId="4B1F25CA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≥18 years</w:t>
            </w:r>
          </w:p>
        </w:tc>
      </w:tr>
      <w:tr w:rsidR="007D6902" w:rsidRPr="002A5307" w14:paraId="1A8964B8" w14:textId="77777777" w:rsidTr="00794C94">
        <w:trPr>
          <w:trHeight w:val="360"/>
        </w:trPr>
        <w:tc>
          <w:tcPr>
            <w:tcW w:w="1250" w:type="pct"/>
            <w:vAlign w:val="center"/>
          </w:tcPr>
          <w:p w14:paraId="73725FA5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Adequate organ function</w:t>
            </w:r>
          </w:p>
        </w:tc>
        <w:tc>
          <w:tcPr>
            <w:tcW w:w="1250" w:type="pct"/>
            <w:vAlign w:val="center"/>
          </w:tcPr>
          <w:p w14:paraId="05CC3CEC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Adequate baseline laboratory values</w:t>
            </w:r>
          </w:p>
        </w:tc>
        <w:tc>
          <w:tcPr>
            <w:tcW w:w="1250" w:type="pct"/>
            <w:vAlign w:val="center"/>
          </w:tcPr>
          <w:p w14:paraId="0749E681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Adequate baseline laboratory values</w:t>
            </w:r>
          </w:p>
        </w:tc>
        <w:tc>
          <w:tcPr>
            <w:tcW w:w="1250" w:type="pct"/>
            <w:vAlign w:val="center"/>
          </w:tcPr>
          <w:p w14:paraId="391CA241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Unspecified</w:t>
            </w:r>
          </w:p>
        </w:tc>
      </w:tr>
      <w:tr w:rsidR="007D6902" w:rsidRPr="002A5307" w14:paraId="5ADABF60" w14:textId="77777777" w:rsidTr="00794C94">
        <w:trPr>
          <w:trHeight w:val="360"/>
        </w:trPr>
        <w:tc>
          <w:tcPr>
            <w:tcW w:w="1250" w:type="pct"/>
            <w:vAlign w:val="center"/>
          </w:tcPr>
          <w:p w14:paraId="23E996CD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ECOG performance status</w:t>
            </w:r>
          </w:p>
        </w:tc>
        <w:tc>
          <w:tcPr>
            <w:tcW w:w="1250" w:type="pct"/>
            <w:vAlign w:val="center"/>
          </w:tcPr>
          <w:p w14:paraId="534AF38A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–</w:t>
            </w: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2</w:t>
            </w:r>
          </w:p>
        </w:tc>
        <w:tc>
          <w:tcPr>
            <w:tcW w:w="1250" w:type="pct"/>
            <w:vAlign w:val="center"/>
          </w:tcPr>
          <w:p w14:paraId="7D6DD064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–</w:t>
            </w: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2</w:t>
            </w:r>
          </w:p>
        </w:tc>
        <w:tc>
          <w:tcPr>
            <w:tcW w:w="1250" w:type="pct"/>
            <w:vAlign w:val="center"/>
          </w:tcPr>
          <w:p w14:paraId="78E095AB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–</w:t>
            </w: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2</w:t>
            </w:r>
          </w:p>
        </w:tc>
      </w:tr>
      <w:tr w:rsidR="007D6902" w:rsidRPr="002A5307" w14:paraId="4581EEA5" w14:textId="77777777" w:rsidTr="00794C94">
        <w:trPr>
          <w:trHeight w:val="360"/>
        </w:trPr>
        <w:tc>
          <w:tcPr>
            <w:tcW w:w="1250" w:type="pct"/>
            <w:vAlign w:val="center"/>
          </w:tcPr>
          <w:p w14:paraId="14ECA244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CNS involvement</w:t>
            </w:r>
          </w:p>
        </w:tc>
        <w:tc>
          <w:tcPr>
            <w:tcW w:w="1250" w:type="pct"/>
            <w:vAlign w:val="center"/>
          </w:tcPr>
          <w:p w14:paraId="5519BCC1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Not eligible</w:t>
            </w:r>
          </w:p>
        </w:tc>
        <w:tc>
          <w:tcPr>
            <w:tcW w:w="1250" w:type="pct"/>
            <w:vAlign w:val="center"/>
          </w:tcPr>
          <w:p w14:paraId="576B1ED7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Not eligible</w:t>
            </w:r>
          </w:p>
        </w:tc>
        <w:tc>
          <w:tcPr>
            <w:tcW w:w="1250" w:type="pct"/>
            <w:vAlign w:val="center"/>
          </w:tcPr>
          <w:p w14:paraId="438AF912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  <w:t>Unspecified</w:t>
            </w:r>
          </w:p>
        </w:tc>
      </w:tr>
      <w:tr w:rsidR="007D6902" w:rsidRPr="002A5307" w14:paraId="18385A97" w14:textId="77777777" w:rsidTr="00794C94">
        <w:trPr>
          <w:trHeight w:val="360"/>
        </w:trPr>
        <w:tc>
          <w:tcPr>
            <w:tcW w:w="1250" w:type="pct"/>
            <w:vAlign w:val="center"/>
          </w:tcPr>
          <w:p w14:paraId="24AD183E" w14:textId="77777777" w:rsidR="007D6902" w:rsidRPr="002A5307" w:rsidRDefault="007D6902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Prior therapy</w:t>
            </w:r>
          </w:p>
        </w:tc>
        <w:tc>
          <w:tcPr>
            <w:tcW w:w="1250" w:type="pct"/>
            <w:vAlign w:val="center"/>
          </w:tcPr>
          <w:p w14:paraId="1F87D65F" w14:textId="77777777" w:rsidR="007D6902" w:rsidRPr="002A5307" w:rsidRDefault="007D6902" w:rsidP="007D690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44" w:hanging="14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 xml:space="preserve">≥1 prior line of therapy, including at least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 xml:space="preserve"> prior anti-CD20 regimen</w:t>
            </w:r>
          </w:p>
          <w:p w14:paraId="3937B7CE" w14:textId="77777777" w:rsidR="007D6902" w:rsidRPr="002A5307" w:rsidRDefault="007D6902" w:rsidP="007D690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44" w:hanging="14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No previous exposure to a BTK inhibitor</w:t>
            </w:r>
          </w:p>
        </w:tc>
        <w:tc>
          <w:tcPr>
            <w:tcW w:w="1250" w:type="pct"/>
            <w:vAlign w:val="center"/>
          </w:tcPr>
          <w:p w14:paraId="299323A4" w14:textId="77777777" w:rsidR="007D6902" w:rsidRPr="002A5307" w:rsidRDefault="007D6902" w:rsidP="007D690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44" w:hanging="14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≥1 prior line of therapy</w:t>
            </w:r>
          </w:p>
          <w:p w14:paraId="0CCB2133" w14:textId="77777777" w:rsidR="007D6902" w:rsidRPr="002A5307" w:rsidRDefault="007D6902" w:rsidP="007D690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44" w:hanging="14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No previous exposure to a BTK inhibitor</w:t>
            </w:r>
          </w:p>
        </w:tc>
        <w:tc>
          <w:tcPr>
            <w:tcW w:w="1250" w:type="pct"/>
            <w:vAlign w:val="center"/>
          </w:tcPr>
          <w:p w14:paraId="67C5541A" w14:textId="77777777" w:rsidR="007D6902" w:rsidRPr="002A5307" w:rsidRDefault="007D6902" w:rsidP="007D690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44" w:hanging="14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A5307">
              <w:rPr>
                <w:rFonts w:ascii="Times New Roman" w:hAnsi="Times New Roman" w:cs="Times New Roman"/>
                <w:sz w:val="16"/>
                <w:szCs w:val="16"/>
              </w:rPr>
              <w:t>≥1 prior anti-CD20 regimen</w:t>
            </w:r>
          </w:p>
        </w:tc>
      </w:tr>
    </w:tbl>
    <w:p w14:paraId="44F810F9" w14:textId="77777777" w:rsidR="007D6902" w:rsidRPr="002A5307" w:rsidRDefault="007D6902" w:rsidP="007D6902">
      <w:pPr>
        <w:spacing w:before="120" w:after="0" w:line="240" w:lineRule="auto"/>
        <w:rPr>
          <w:rFonts w:ascii="Times New Roman" w:hAnsi="Times New Roman" w:cs="Times New Roman"/>
          <w:bCs/>
          <w:sz w:val="16"/>
          <w:szCs w:val="18"/>
          <w:lang w:val="en-CA"/>
        </w:rPr>
      </w:pPr>
      <w:proofErr w:type="spellStart"/>
      <w:r w:rsidRPr="009E633C">
        <w:rPr>
          <w:rFonts w:ascii="Times New Roman" w:hAnsi="Times New Roman" w:cs="Times New Roman"/>
          <w:bCs/>
          <w:sz w:val="16"/>
          <w:szCs w:val="18"/>
          <w:vertAlign w:val="superscript"/>
          <w:lang w:val="en-CA"/>
        </w:rPr>
        <w:t>a</w:t>
      </w:r>
      <w:r w:rsidRPr="002A5307">
        <w:rPr>
          <w:rFonts w:ascii="Times New Roman" w:hAnsi="Times New Roman" w:cs="Times New Roman"/>
          <w:bCs/>
          <w:sz w:val="16"/>
          <w:szCs w:val="18"/>
          <w:lang w:val="en-CA"/>
        </w:rPr>
        <w:t>See</w:t>
      </w:r>
      <w:proofErr w:type="spellEnd"/>
      <w:r w:rsidRPr="002A5307">
        <w:rPr>
          <w:rFonts w:ascii="Times New Roman" w:hAnsi="Times New Roman" w:cs="Times New Roman"/>
          <w:bCs/>
          <w:sz w:val="16"/>
          <w:szCs w:val="18"/>
          <w:lang w:val="en-CA"/>
        </w:rPr>
        <w:t xml:space="preserve"> </w:t>
      </w:r>
      <w:r>
        <w:rPr>
          <w:rFonts w:ascii="Times New Roman" w:hAnsi="Times New Roman" w:cs="Times New Roman"/>
          <w:bCs/>
          <w:sz w:val="16"/>
          <w:szCs w:val="18"/>
          <w:lang w:val="en-CA"/>
        </w:rPr>
        <w:t xml:space="preserve">Supplementary </w:t>
      </w:r>
      <w:r w:rsidRPr="002A5307">
        <w:rPr>
          <w:rFonts w:ascii="Times New Roman" w:hAnsi="Times New Roman" w:cs="Times New Roman"/>
          <w:bCs/>
          <w:sz w:val="16"/>
          <w:szCs w:val="18"/>
          <w:lang w:val="en-CA"/>
        </w:rPr>
        <w:t>Table</w:t>
      </w:r>
      <w:r>
        <w:rPr>
          <w:rFonts w:ascii="Times New Roman" w:hAnsi="Times New Roman" w:cs="Times New Roman"/>
          <w:bCs/>
          <w:sz w:val="16"/>
          <w:szCs w:val="18"/>
          <w:lang w:val="en-CA"/>
        </w:rPr>
        <w:t xml:space="preserve"> 1</w:t>
      </w:r>
      <w:r w:rsidRPr="002A5307">
        <w:rPr>
          <w:rFonts w:ascii="Times New Roman" w:hAnsi="Times New Roman" w:cs="Times New Roman"/>
          <w:bCs/>
          <w:sz w:val="16"/>
          <w:szCs w:val="18"/>
          <w:lang w:val="en-CA"/>
        </w:rPr>
        <w:t xml:space="preserve"> for full list of individual agents.</w:t>
      </w:r>
    </w:p>
    <w:p w14:paraId="7BAFEA2F" w14:textId="77777777" w:rsidR="007D6902" w:rsidRDefault="007D6902" w:rsidP="007D6902">
      <w:pPr>
        <w:spacing w:before="120" w:line="240" w:lineRule="auto"/>
        <w:jc w:val="left"/>
        <w:rPr>
          <w:rFonts w:ascii="Times New Roman" w:hAnsi="Times New Roman" w:cs="Times New Roman"/>
          <w:sz w:val="16"/>
          <w:szCs w:val="16"/>
          <w:lang w:val="en-CA"/>
        </w:rPr>
      </w:pPr>
      <w:r w:rsidRPr="5D47C50D">
        <w:rPr>
          <w:rFonts w:ascii="Times New Roman" w:hAnsi="Times New Roman" w:cs="Times New Roman"/>
          <w:sz w:val="16"/>
          <w:szCs w:val="16"/>
        </w:rPr>
        <w:t>BTK</w:t>
      </w:r>
      <w:r>
        <w:rPr>
          <w:rFonts w:ascii="Times New Roman" w:hAnsi="Times New Roman" w:cs="Times New Roman"/>
          <w:sz w:val="16"/>
          <w:szCs w:val="16"/>
        </w:rPr>
        <w:t>:</w:t>
      </w:r>
      <w:r w:rsidRPr="5D47C50D">
        <w:rPr>
          <w:rStyle w:val="normaltextrun"/>
          <w:rFonts w:ascii="Times New Roman" w:hAnsi="Times New Roman" w:cs="Times New Roman"/>
          <w:sz w:val="16"/>
          <w:szCs w:val="16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</w:rPr>
        <w:t>Bruton tyrosine kinase; CNS</w:t>
      </w:r>
      <w:r>
        <w:rPr>
          <w:rFonts w:ascii="Times New Roman" w:hAnsi="Times New Roman" w:cs="Times New Roman"/>
          <w:sz w:val="16"/>
          <w:szCs w:val="16"/>
        </w:rPr>
        <w:t>:</w:t>
      </w:r>
      <w:r w:rsidRPr="5D47C50D">
        <w:rPr>
          <w:rStyle w:val="normaltextrun"/>
          <w:rFonts w:ascii="Times New Roman" w:hAnsi="Times New Roman" w:cs="Times New Roman"/>
          <w:sz w:val="16"/>
          <w:szCs w:val="16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</w:rPr>
        <w:t>central nervous system; ECOG</w:t>
      </w:r>
      <w:r>
        <w:rPr>
          <w:rFonts w:ascii="Times New Roman" w:hAnsi="Times New Roman" w:cs="Times New Roman"/>
          <w:sz w:val="16"/>
          <w:szCs w:val="16"/>
        </w:rPr>
        <w:t>:</w:t>
      </w:r>
      <w:r w:rsidRPr="5D47C50D">
        <w:rPr>
          <w:rStyle w:val="normaltextrun"/>
          <w:rFonts w:ascii="Times New Roman" w:hAnsi="Times New Roman" w:cs="Times New Roman"/>
          <w:sz w:val="16"/>
          <w:szCs w:val="16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</w:rPr>
        <w:t>Eastern Cooperative Oncology Group</w:t>
      </w:r>
      <w:r w:rsidRPr="5D47C50D">
        <w:rPr>
          <w:rFonts w:ascii="Times New Roman" w:hAnsi="Times New Roman" w:cs="Times New Roman"/>
          <w:sz w:val="16"/>
          <w:szCs w:val="16"/>
          <w:lang w:val="en-CA"/>
        </w:rPr>
        <w:t xml:space="preserve">; </w:t>
      </w:r>
      <w:r w:rsidRPr="006001F8">
        <w:rPr>
          <w:rStyle w:val="normaltextrun"/>
          <w:rFonts w:ascii="Times New Roman" w:hAnsi="Times New Roman"/>
          <w:sz w:val="16"/>
          <w:szCs w:val="16"/>
        </w:rPr>
        <w:t>HMRN: Haematological Malignancy Research Network;</w:t>
      </w:r>
      <w:r>
        <w:rPr>
          <w:rStyle w:val="normaltextrun"/>
          <w:rFonts w:ascii="Times New Roman" w:hAnsi="Times New Roman"/>
          <w:sz w:val="16"/>
          <w:szCs w:val="16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  <w:lang w:val="en-CA"/>
        </w:rPr>
        <w:t>MAIC</w:t>
      </w:r>
      <w:r>
        <w:rPr>
          <w:rFonts w:ascii="Times New Roman" w:hAnsi="Times New Roman" w:cs="Times New Roman"/>
          <w:sz w:val="16"/>
          <w:szCs w:val="16"/>
          <w:lang w:val="en-CA"/>
        </w:rPr>
        <w:t>:</w:t>
      </w:r>
      <w:r w:rsidRPr="5D47C50D">
        <w:rPr>
          <w:rStyle w:val="normaltextrun"/>
          <w:rFonts w:ascii="Times New Roman" w:hAnsi="Times New Roman" w:cs="Times New Roman"/>
          <w:sz w:val="16"/>
          <w:szCs w:val="16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  <w:lang w:val="en-CA"/>
        </w:rPr>
        <w:t>matching adjusted indirect comparison;</w:t>
      </w:r>
      <w:r>
        <w:rPr>
          <w:rFonts w:ascii="Times New Roman" w:hAnsi="Times New Roman" w:cs="Times New Roman"/>
          <w:sz w:val="16"/>
          <w:szCs w:val="16"/>
          <w:lang w:val="en-CA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  <w:lang w:val="en-CA"/>
        </w:rPr>
        <w:t>R/R</w:t>
      </w:r>
      <w:r w:rsidRPr="00584A6E">
        <w:rPr>
          <w:rFonts w:ascii="Times New Roman" w:hAnsi="Times New Roman" w:cs="Times New Roman"/>
          <w:sz w:val="16"/>
          <w:szCs w:val="16"/>
          <w:lang w:val="en-CA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  <w:lang w:val="en-CA"/>
        </w:rPr>
        <w:t>MZL</w:t>
      </w:r>
      <w:r>
        <w:rPr>
          <w:rFonts w:ascii="Times New Roman" w:hAnsi="Times New Roman" w:cs="Times New Roman"/>
          <w:sz w:val="16"/>
          <w:szCs w:val="16"/>
          <w:lang w:val="en-CA"/>
        </w:rPr>
        <w:t>:</w:t>
      </w:r>
      <w:r w:rsidRPr="5D47C50D">
        <w:rPr>
          <w:rStyle w:val="normaltextrun"/>
          <w:rFonts w:ascii="Times New Roman" w:hAnsi="Times New Roman" w:cs="Times New Roman"/>
          <w:sz w:val="16"/>
          <w:szCs w:val="16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  <w:lang w:val="en-CA"/>
        </w:rPr>
        <w:t>relapsed/refractory</w:t>
      </w:r>
      <w:r w:rsidRPr="00584A6E">
        <w:rPr>
          <w:rFonts w:ascii="Times New Roman" w:hAnsi="Times New Roman" w:cs="Times New Roman"/>
          <w:sz w:val="16"/>
          <w:szCs w:val="16"/>
          <w:lang w:val="en-CA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  <w:lang w:val="en-CA"/>
        </w:rPr>
        <w:t>marginal zone lymphoma.</w:t>
      </w:r>
    </w:p>
    <w:p w14:paraId="26B80317" w14:textId="77777777" w:rsidR="007D6902" w:rsidRDefault="007D6902" w:rsidP="007D6902">
      <w:pPr>
        <w:spacing w:line="240" w:lineRule="auto"/>
        <w:rPr>
          <w:rFonts w:ascii="Times New Roman" w:hAnsi="Times New Roman" w:cs="Times New Roman"/>
          <w:sz w:val="16"/>
          <w:szCs w:val="18"/>
          <w:lang w:val="en-CA"/>
        </w:rPr>
      </w:pPr>
    </w:p>
    <w:p w14:paraId="6D79FDD6" w14:textId="2F454FB3" w:rsidR="00AA7CA5" w:rsidRPr="007D6902" w:rsidRDefault="00AA7CA5" w:rsidP="007D6902">
      <w:pPr>
        <w:spacing w:after="160" w:line="259" w:lineRule="auto"/>
        <w:jc w:val="left"/>
        <w:rPr>
          <w:rFonts w:ascii="Times New Roman" w:hAnsi="Times New Roman" w:cs="Times New Roman"/>
          <w:b/>
          <w:color w:val="000000" w:themeColor="text1"/>
          <w:sz w:val="20"/>
          <w:szCs w:val="20"/>
          <w:lang w:eastAsia="en-US"/>
        </w:rPr>
      </w:pPr>
    </w:p>
    <w:sectPr w:rsidR="00AA7CA5" w:rsidRPr="007D69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11105"/>
    <w:multiLevelType w:val="hybridMultilevel"/>
    <w:tmpl w:val="2C1CA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290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02"/>
    <w:rsid w:val="00073070"/>
    <w:rsid w:val="00155272"/>
    <w:rsid w:val="00213C10"/>
    <w:rsid w:val="00232E41"/>
    <w:rsid w:val="00292A89"/>
    <w:rsid w:val="002E7DFB"/>
    <w:rsid w:val="002F4674"/>
    <w:rsid w:val="00503065"/>
    <w:rsid w:val="005E3F26"/>
    <w:rsid w:val="007D6902"/>
    <w:rsid w:val="00863D4B"/>
    <w:rsid w:val="00936FC3"/>
    <w:rsid w:val="0096296E"/>
    <w:rsid w:val="009C1085"/>
    <w:rsid w:val="00AA7CA5"/>
    <w:rsid w:val="00B223BE"/>
    <w:rsid w:val="00CB282B"/>
    <w:rsid w:val="00CC220D"/>
    <w:rsid w:val="00D7658D"/>
    <w:rsid w:val="00FA310E"/>
    <w:rsid w:val="00FF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BB982"/>
  <w15:chartTrackingRefBased/>
  <w15:docId w15:val="{BC862892-94AC-4697-A1CD-25D10868A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902"/>
    <w:pPr>
      <w:spacing w:after="120" w:line="360" w:lineRule="auto"/>
      <w:jc w:val="both"/>
    </w:pPr>
    <w:rPr>
      <w:rFonts w:ascii="Arial" w:eastAsia="Times New Roman" w:hAnsi="Arial" w:cs="Arial"/>
      <w:kern w:val="0"/>
      <w:sz w:val="22"/>
      <w:lang w:val="en-GB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6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9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9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902"/>
    <w:rPr>
      <w:i/>
      <w:iCs/>
      <w:color w:val="404040" w:themeColor="text1" w:themeTint="BF"/>
    </w:rPr>
  </w:style>
  <w:style w:type="paragraph" w:styleId="ListParagraph">
    <w:name w:val="List Paragraph"/>
    <w:aliases w:val="Bullet 1,Listenabsatz 2,Bullet List,Lista viñetas,Explanation &amp; guidance"/>
    <w:basedOn w:val="Normal"/>
    <w:link w:val="ListParagraphChar"/>
    <w:uiPriority w:val="34"/>
    <w:qFormat/>
    <w:rsid w:val="007D6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9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9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902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1 Char,Listenabsatz 2 Char,Bullet List Char,Lista viñetas Char,Explanation &amp; guidance Char"/>
    <w:link w:val="ListParagraph"/>
    <w:uiPriority w:val="34"/>
    <w:locked/>
    <w:rsid w:val="007D6902"/>
  </w:style>
  <w:style w:type="table" w:customStyle="1" w:styleId="Jennys">
    <w:name w:val="Jenny's"/>
    <w:basedOn w:val="TableNormal"/>
    <w:uiPriority w:val="99"/>
    <w:rsid w:val="007D6902"/>
    <w:pPr>
      <w:spacing w:after="0" w:line="240" w:lineRule="auto"/>
    </w:pPr>
    <w:rPr>
      <w:rFonts w:ascii="Arial" w:hAnsi="Arial"/>
      <w:kern w:val="0"/>
      <w:sz w:val="20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paragraph" w:customStyle="1" w:styleId="FigureTable">
    <w:name w:val="Figure/Table"/>
    <w:basedOn w:val="Normal"/>
    <w:link w:val="FigureTableChar"/>
    <w:qFormat/>
    <w:rsid w:val="007D6902"/>
    <w:pPr>
      <w:keepNext/>
      <w:tabs>
        <w:tab w:val="num" w:pos="1080"/>
      </w:tabs>
      <w:spacing w:before="120" w:after="60" w:line="240" w:lineRule="auto"/>
      <w:outlineLvl w:val="4"/>
    </w:pPr>
    <w:rPr>
      <w:rFonts w:ascii="Helvetica" w:hAnsi="Helvetica"/>
      <w:b/>
      <w:color w:val="000000" w:themeColor="text1"/>
      <w:sz w:val="20"/>
      <w:szCs w:val="20"/>
      <w:lang w:eastAsia="en-US"/>
    </w:rPr>
  </w:style>
  <w:style w:type="character" w:customStyle="1" w:styleId="FigureTableChar">
    <w:name w:val="Figure/Table Char"/>
    <w:basedOn w:val="DefaultParagraphFont"/>
    <w:link w:val="FigureTable"/>
    <w:rsid w:val="007D6902"/>
    <w:rPr>
      <w:rFonts w:ascii="Helvetica" w:eastAsia="Times New Roman" w:hAnsi="Helvetica" w:cs="Arial"/>
      <w:b/>
      <w:color w:val="000000" w:themeColor="text1"/>
      <w:kern w:val="0"/>
      <w:sz w:val="20"/>
      <w:szCs w:val="20"/>
      <w:lang w:val="en-GB"/>
      <w14:ligatures w14:val="none"/>
    </w:rPr>
  </w:style>
  <w:style w:type="character" w:customStyle="1" w:styleId="normaltextrun">
    <w:name w:val="normaltextrun"/>
    <w:basedOn w:val="DefaultParagraphFont"/>
    <w:rsid w:val="007D6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AB46CB42E974B8B343136A9C5AD12" ma:contentTypeVersion="15" ma:contentTypeDescription="Create a new document." ma:contentTypeScope="" ma:versionID="66ebf5f561be30d34b7a92e70ad66057">
  <xsd:schema xmlns:xsd="http://www.w3.org/2001/XMLSchema" xmlns:xs="http://www.w3.org/2001/XMLSchema" xmlns:p="http://schemas.microsoft.com/office/2006/metadata/properties" xmlns:ns2="34ef6fd2-5125-4c23-b935-9d16404da0a5" xmlns:ns3="8c3c43cf-186b-4613-84b4-a4ff23217b56" targetNamespace="http://schemas.microsoft.com/office/2006/metadata/properties" ma:root="true" ma:fieldsID="559148f9941e44eed5ab2a676c7f46b9" ns2:_="" ns3:_="">
    <xsd:import namespace="34ef6fd2-5125-4c23-b935-9d16404da0a5"/>
    <xsd:import namespace="8c3c43cf-186b-4613-84b4-a4ff23217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6fd2-5125-4c23-b935-9d16404da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cbd03e-66a2-4c18-a228-0d90db848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43cf-186b-4613-84b4-a4ff23217b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12e874-be26-499a-b36a-3e9c3c72934e}" ma:internalName="TaxCatchAll" ma:showField="CatchAllData" ma:web="8c3c43cf-186b-4613-84b4-a4ff23217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f6fd2-5125-4c23-b935-9d16404da0a5">
      <Terms xmlns="http://schemas.microsoft.com/office/infopath/2007/PartnerControls"/>
    </lcf76f155ced4ddcb4097134ff3c332f>
    <TaxCatchAll xmlns="8c3c43cf-186b-4613-84b4-a4ff23217b56" xsi:nil="true"/>
  </documentManagement>
</p:properties>
</file>

<file path=customXml/itemProps1.xml><?xml version="1.0" encoding="utf-8"?>
<ds:datastoreItem xmlns:ds="http://schemas.openxmlformats.org/officeDocument/2006/customXml" ds:itemID="{82D40778-9785-45AD-BB71-F4C2C0C80074}"/>
</file>

<file path=customXml/itemProps2.xml><?xml version="1.0" encoding="utf-8"?>
<ds:datastoreItem xmlns:ds="http://schemas.openxmlformats.org/officeDocument/2006/customXml" ds:itemID="{8941C734-3804-4A02-8C03-9D2CE6841F3D}"/>
</file>

<file path=customXml/itemProps3.xml><?xml version="1.0" encoding="utf-8"?>
<ds:datastoreItem xmlns:ds="http://schemas.openxmlformats.org/officeDocument/2006/customXml" ds:itemID="{FA8E2D42-369C-4FF7-8BDE-F3B3C6EA61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2026-08-28T16:18:00Z</dcterms:created>
  <dcterms:modified xsi:type="dcterms:W3CDTF">2026-08-28T16:18:00Z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0x010100FBDAB46CB42E974B8B343136A9C5AD12</vt:lpwstr>
  </property>
</Properties>
</file>